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Rozhodnutí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4">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 </w:t>
      </w:r>
      <w:r w:rsidDel="00000000" w:rsidR="00000000" w:rsidRPr="00000000">
        <w:rPr>
          <w:rFonts w:ascii="Calibri" w:cs="Calibri" w:eastAsia="Calibri" w:hAnsi="Calibri"/>
          <w:b w:val="1"/>
          <w:rtl w:val="0"/>
        </w:rPr>
        <w:t xml:space="preserve">TA ČR</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jako poskytovatel účelové podpory (dále jen „p</w:t>
      </w:r>
      <w:r w:rsidDel="00000000" w:rsidR="00000000" w:rsidRPr="00000000">
        <w:rPr>
          <w:rFonts w:ascii="Calibri" w:cs="Calibri" w:eastAsia="Calibri" w:hAnsi="Calibri"/>
          <w:rtl w:val="0"/>
        </w:rPr>
        <w:t xml:space="preserve">oskytovatel“),</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000000" w:rsidDel="00000000" w:rsidP="00000000" w:rsidRDefault="00000000" w:rsidRPr="00000000" w14:paraId="0000000B">
      <w:pPr>
        <w:spacing w:befor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highlight w:val="yellow"/>
        </w:rPr>
      </w:pPr>
      <w:r w:rsidDel="00000000" w:rsidR="00000000" w:rsidRPr="00000000">
        <w:rPr>
          <w:rFonts w:ascii="Calibri" w:cs="Calibri" w:eastAsia="Calibri" w:hAnsi="Calibri"/>
          <w:b w:val="1"/>
          <w:rtl w:val="0"/>
        </w:rPr>
        <w:t xml:space="preserve">Rozhodnutí o poskytnutí účelové podpory formou dotace z výdajů státního rozpočtu na výzkum, vývoj a inovace na řešení části programového projektu č. </w:t>
      </w:r>
      <w:r w:rsidDel="00000000" w:rsidR="00000000" w:rsidRPr="00000000">
        <w:rPr>
          <w:rFonts w:ascii="Calibri" w:cs="Calibri" w:eastAsia="Calibri" w:hAnsi="Calibri"/>
          <w:b w:val="1"/>
          <w:highlight w:val="yellow"/>
          <w:rtl w:val="0"/>
        </w:rPr>
        <w:t xml:space="preserve">XXXX </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(dále jen „Rozhodnutí“)</w:t>
      </w:r>
    </w:p>
    <w:p w:rsidR="00000000" w:rsidDel="00000000" w:rsidP="00000000" w:rsidRDefault="00000000" w:rsidRPr="00000000" w14:paraId="0000000E">
      <w:pPr>
        <w:rPr>
          <w:rFonts w:ascii="Calibri" w:cs="Calibri" w:eastAsia="Calibri" w:hAnsi="Calibri"/>
          <w:highlight w:val="yellow"/>
        </w:rPr>
      </w:pPr>
      <w:r w:rsidDel="00000000" w:rsidR="00000000" w:rsidRPr="00000000">
        <w:rPr>
          <w:rFonts w:ascii="Calibri" w:cs="Calibri" w:eastAsia="Calibri" w:hAnsi="Calibri"/>
          <w:b w:val="1"/>
          <w:highlight w:val="yellow"/>
          <w:rtl w:val="0"/>
        </w:rPr>
        <w:t xml:space="preserve">[organizaci]</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se sídlem XXXXXXXX</w:t>
      </w:r>
    </w:p>
    <w:p w:rsidR="00000000" w:rsidDel="00000000" w:rsidP="00000000" w:rsidRDefault="00000000" w:rsidRPr="00000000" w14:paraId="00000010">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IČO: XXXXXXXX, DIČ: </w:t>
      </w:r>
      <w:r w:rsidDel="00000000" w:rsidR="00000000" w:rsidRPr="00000000">
        <w:rPr>
          <w:rFonts w:ascii="Calibri" w:cs="Calibri" w:eastAsia="Calibri" w:hAnsi="Calibri"/>
          <w:b w:val="1"/>
          <w:highlight w:val="yellow"/>
          <w:rtl w:val="0"/>
        </w:rPr>
        <w:t xml:space="preserve">XXXXXXXXXX</w:t>
      </w:r>
      <w:r w:rsidDel="00000000" w:rsidR="00000000" w:rsidRPr="00000000">
        <w:rPr>
          <w:rtl w:val="0"/>
        </w:rPr>
      </w:r>
    </w:p>
    <w:p w:rsidR="00000000" w:rsidDel="00000000" w:rsidP="00000000" w:rsidRDefault="00000000" w:rsidRPr="00000000" w14:paraId="00000011">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zastoupená: XXXXXXXX </w:t>
      </w:r>
    </w:p>
    <w:p w:rsidR="00000000" w:rsidDel="00000000" w:rsidP="00000000" w:rsidRDefault="00000000" w:rsidRPr="00000000" w14:paraId="00000012">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kontaktní osoba: XXXXXXXX</w:t>
      </w:r>
      <w:r w:rsidDel="00000000" w:rsidR="00000000" w:rsidRPr="00000000">
        <w:rPr>
          <w:rFonts w:ascii="Calibri" w:cs="Calibri" w:eastAsia="Calibri" w:hAnsi="Calibri"/>
          <w:b w:val="1"/>
          <w:highlight w:val="yellow"/>
          <w:rtl w:val="0"/>
        </w:rPr>
        <w:t xml:space="preserve">, řešitel</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bankovní spojení: XXXXXXXX</w:t>
      </w:r>
      <w:r w:rsidDel="00000000" w:rsidR="00000000" w:rsidRPr="00000000">
        <w:rPr>
          <w:rFonts w:ascii="Calibri" w:cs="Calibri" w:eastAsia="Calibri" w:hAnsi="Calibri"/>
          <w:b w:val="1"/>
          <w:highlight w:val="yellow"/>
          <w:rtl w:val="0"/>
        </w:rPr>
        <w:t xml:space="preserve"> - </w:t>
      </w:r>
      <w:r w:rsidDel="00000000" w:rsidR="00000000" w:rsidRPr="00000000">
        <w:rPr>
          <w:rFonts w:ascii="Calibri" w:cs="Calibri" w:eastAsia="Calibri" w:hAnsi="Calibri"/>
          <w:highlight w:val="yellow"/>
          <w:rtl w:val="0"/>
        </w:rPr>
        <w:t xml:space="preserve">XXXXXXXX</w:t>
      </w:r>
    </w:p>
    <w:p w:rsidR="00000000" w:rsidDel="00000000" w:rsidP="00000000" w:rsidRDefault="00000000" w:rsidRPr="00000000" w14:paraId="00000014">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číslo účtu: XXXXXXXX</w:t>
      </w:r>
    </w:p>
    <w:p w:rsidR="00000000" w:rsidDel="00000000" w:rsidP="00000000" w:rsidRDefault="00000000" w:rsidRPr="00000000" w14:paraId="00000015">
      <w:pPr>
        <w:spacing w:before="0" w:lineRule="auto"/>
        <w:rPr>
          <w:rFonts w:ascii="Calibri" w:cs="Calibri" w:eastAsia="Calibri" w:hAnsi="Calibri"/>
        </w:rPr>
      </w:pPr>
      <w:r w:rsidDel="00000000" w:rsidR="00000000" w:rsidRPr="00000000">
        <w:rPr>
          <w:rFonts w:ascii="Calibri" w:cs="Calibri" w:eastAsia="Calibri" w:hAnsi="Calibri"/>
          <w:rtl w:val="0"/>
        </w:rPr>
        <w:t xml:space="preserve">jako hlavnímu příjemci / dalšímu účastníku projektu (dále jen „příjemce“)</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7">
      <w:pPr>
        <w:spacing w:after="60" w:lineRule="auto"/>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vyhlášené konsorciem poskytovatelů v ERA-NET Cofundu / Evropském partnerství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přičemž hlavní příjemce bude financován z následujícího programu: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 souladu s § 9 ZPVV </w:t>
      </w:r>
      <w:r w:rsidDel="00000000" w:rsidR="00000000" w:rsidRPr="00000000">
        <w:rPr>
          <w:rFonts w:ascii="Calibri" w:cs="Calibri" w:eastAsia="Calibri" w:hAnsi="Calibri"/>
          <w:rtl w:val="0"/>
        </w:rPr>
        <w:t xml:space="preserve">proto poskytovatel vydává toto Rozhodnutí. Veškeré pojmy použité v Rozhodnutí definujeme ve Všeobecných podmínkách.</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Rozhodnutí</w:t>
      </w:r>
      <w:r w:rsidDel="00000000" w:rsidR="00000000" w:rsidRPr="00000000">
        <w:rPr>
          <w:rtl w:val="0"/>
        </w:rPr>
      </w:r>
    </w:p>
    <w:p w:rsidR="00000000" w:rsidDel="00000000" w:rsidP="00000000" w:rsidRDefault="00000000" w:rsidRPr="00000000" w14:paraId="0000001A">
      <w:pPr>
        <w:numPr>
          <w:ilvl w:val="0"/>
          <w:numId w:val="3"/>
        </w:numPr>
        <w:ind w:left="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r w:rsidDel="00000000" w:rsidR="00000000" w:rsidRPr="00000000">
        <w:rPr>
          <w:rtl w:val="0"/>
        </w:rPr>
      </w:r>
    </w:p>
    <w:p w:rsidR="00000000" w:rsidDel="00000000" w:rsidP="00000000" w:rsidRDefault="00000000" w:rsidRPr="00000000" w14:paraId="0000001B">
      <w:pPr>
        <w:numPr>
          <w:ilvl w:val="0"/>
          <w:numId w:val="3"/>
        </w:numPr>
        <w:ind w:left="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Účelem podpory je provádění činností výzkumu, vývoje a inovací nebo činností souvisejících, jež efektivně směřují k dosažení cílů projektu za podmínek pravidel poskytnutí podpory.</w:t>
      </w:r>
      <w:r w:rsidDel="00000000" w:rsidR="00000000" w:rsidRPr="00000000">
        <w:rPr>
          <w:rtl w:val="0"/>
        </w:rPr>
      </w:r>
    </w:p>
    <w:p w:rsidR="00000000" w:rsidDel="00000000" w:rsidP="00000000" w:rsidRDefault="00000000" w:rsidRPr="00000000" w14:paraId="0000001C">
      <w:pPr>
        <w:numPr>
          <w:ilvl w:val="0"/>
          <w:numId w:val="3"/>
        </w:numPr>
        <w:ind w:left="360"/>
        <w:rPr/>
      </w:pPr>
      <w:r w:rsidDel="00000000" w:rsidR="00000000" w:rsidRPr="00000000">
        <w:rPr>
          <w:rFonts w:ascii="Calibri" w:cs="Calibri" w:eastAsia="Calibri" w:hAnsi="Calibri"/>
          <w:rtl w:val="0"/>
        </w:rPr>
        <w:t xml:space="preserve">Podporu poskytneme formou zvýšení výdajů organizační složky státu, která je příjemcem, ve smyslu § 4 odst. 1 ZPVV.</w:t>
      </w:r>
      <w:r w:rsidDel="00000000" w:rsidR="00000000" w:rsidRPr="00000000">
        <w:rPr>
          <w:rtl w:val="0"/>
        </w:rPr>
      </w:r>
    </w:p>
    <w:p w:rsidR="00000000" w:rsidDel="00000000" w:rsidP="00000000" w:rsidRDefault="00000000" w:rsidRPr="00000000" w14:paraId="0000001D">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1E">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1F">
      <w:pPr>
        <w:numPr>
          <w:ilvl w:val="0"/>
          <w:numId w:val="2"/>
        </w:numPr>
        <w:ind w:left="360" w:hanging="360"/>
        <w:rPr/>
      </w:pPr>
      <w:r w:rsidDel="00000000" w:rsidR="00000000" w:rsidRPr="00000000">
        <w:rPr>
          <w:rFonts w:ascii="Calibri" w:cs="Calibri" w:eastAsia="Calibri" w:hAnsi="Calibri"/>
          <w:rtl w:val="0"/>
        </w:rPr>
        <w:t xml:space="preserve">Maximální výše podpory projektu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 což je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 z maximální výše uznaných nákladů.</w:t>
      </w:r>
      <w:r w:rsidDel="00000000" w:rsidR="00000000" w:rsidRPr="00000000">
        <w:rPr>
          <w:rtl w:val="0"/>
        </w:rPr>
      </w:r>
    </w:p>
    <w:p w:rsidR="00000000" w:rsidDel="00000000" w:rsidP="00000000" w:rsidRDefault="00000000" w:rsidRPr="00000000" w14:paraId="00000020">
      <w:pPr>
        <w:numPr>
          <w:ilvl w:val="0"/>
          <w:numId w:val="2"/>
        </w:numPr>
        <w:ind w:left="360" w:hanging="360"/>
        <w:rPr/>
      </w:pPr>
      <w:r w:rsidDel="00000000" w:rsidR="00000000" w:rsidRPr="00000000">
        <w:rPr>
          <w:rFonts w:ascii="Calibri" w:cs="Calibri" w:eastAsia="Calibri" w:hAnsi="Calibri"/>
          <w:rtl w:val="0"/>
        </w:rPr>
        <w:t xml:space="preserve">Maximální výše uznaných nákladů projektu</w:t>
      </w:r>
      <w:r w:rsidDel="00000000" w:rsidR="00000000" w:rsidRPr="00000000">
        <w:rPr>
          <w:rFonts w:ascii="Calibri" w:cs="Calibri" w:eastAsia="Calibri" w:hAnsi="Calibri"/>
          <w:rtl w:val="0"/>
        </w:rPr>
        <w:t xml:space="preserve">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w:t>
      </w:r>
      <w:r w:rsidDel="00000000" w:rsidR="00000000" w:rsidRPr="00000000">
        <w:rPr>
          <w:rtl w:val="0"/>
        </w:rPr>
      </w:r>
    </w:p>
    <w:p w:rsidR="00000000" w:rsidDel="00000000" w:rsidP="00000000" w:rsidRDefault="00000000" w:rsidRPr="00000000" w14:paraId="00000021">
      <w:pPr>
        <w:numPr>
          <w:ilvl w:val="0"/>
          <w:numId w:val="2"/>
        </w:numPr>
        <w:ind w:left="360" w:hanging="360"/>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 uznaných nákladů projektu.</w:t>
      </w:r>
      <w:r w:rsidDel="00000000" w:rsidR="00000000" w:rsidRPr="00000000">
        <w:rPr>
          <w:rtl w:val="0"/>
        </w:rPr>
      </w:r>
    </w:p>
    <w:p w:rsidR="00000000" w:rsidDel="00000000" w:rsidP="00000000" w:rsidRDefault="00000000" w:rsidRPr="00000000" w14:paraId="00000022">
      <w:pPr>
        <w:numPr>
          <w:ilvl w:val="0"/>
          <w:numId w:val="2"/>
        </w:numPr>
        <w:ind w:left="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podpory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p>
    <w:p w:rsidR="00000000" w:rsidDel="00000000" w:rsidP="00000000" w:rsidRDefault="00000000" w:rsidRPr="00000000" w14:paraId="00000023">
      <w:pPr>
        <w:numPr>
          <w:ilvl w:val="0"/>
          <w:numId w:val="2"/>
        </w:numPr>
        <w:ind w:left="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uznaných nákladů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r w:rsidDel="00000000" w:rsidR="00000000" w:rsidRPr="00000000">
        <w:rPr>
          <w:rtl w:val="0"/>
        </w:rPr>
      </w:r>
    </w:p>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5"/>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Nedílnou součástí Rozhodnutí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5"/>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Další podmínky poskytnutí podpory a řešení projektu uvádíme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w:t>
      </w:r>
      <w:r w:rsidDel="00000000" w:rsidR="00000000" w:rsidRPr="00000000">
        <w:rPr>
          <w:rFonts w:ascii="Calibri" w:cs="Calibri" w:eastAsia="Calibri" w:hAnsi="Calibri"/>
          <w:rtl w:val="0"/>
        </w:rPr>
        <w:t xml:space="preserve">na webových stránkách poskytovatele</w:t>
      </w:r>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14:paraId="00000028">
      <w:pPr>
        <w:numPr>
          <w:ilvl w:val="0"/>
          <w:numId w:val="5"/>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Obsahuje-li Rozhodnutí úpravu odlišnou od Všeobecných podmínek či Závazných parametrů řešení projektu, použijeme přednostně ustanovení Rozhodnutí,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gjdgxs" w:id="0"/>
    <w:bookmarkEnd w:id="0"/>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B">
      <w:pPr>
        <w:numPr>
          <w:ilvl w:val="0"/>
          <w:numId w:val="1"/>
        </w:numPr>
        <w:spacing w:before="24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r w:rsidDel="00000000" w:rsidR="00000000" w:rsidRPr="00000000">
        <w:rPr>
          <w:rtl w:val="0"/>
        </w:rPr>
      </w:r>
    </w:p>
    <w:p w:rsidR="00000000" w:rsidDel="00000000" w:rsidP="00000000" w:rsidRDefault="00000000" w:rsidRPr="00000000" w14:paraId="0000002C">
      <w:pPr>
        <w:numPr>
          <w:ilvl w:val="0"/>
          <w:numId w:val="1"/>
        </w:numPr>
        <w:spacing w:after="120" w:lineRule="auto"/>
        <w:ind w:left="425" w:hanging="425"/>
        <w:rPr/>
      </w:pPr>
      <w:r w:rsidDel="00000000" w:rsidR="00000000" w:rsidRPr="00000000">
        <w:rPr>
          <w:rFonts w:ascii="Calibri" w:cs="Calibri" w:eastAsia="Calibri" w:hAnsi="Calibri"/>
          <w:rtl w:val="0"/>
        </w:rPr>
        <w:t xml:space="preserve">Článek 2 Všeobecných podmínek „Vymezení pojmů” se doplňuje o tyto pojmy: </w:t>
      </w:r>
      <w:r w:rsidDel="00000000" w:rsidR="00000000" w:rsidRPr="00000000">
        <w:rPr>
          <w:rtl w:val="0"/>
        </w:rPr>
      </w:r>
    </w:p>
    <w:p w:rsidR="00000000" w:rsidDel="00000000" w:rsidP="00000000" w:rsidRDefault="00000000" w:rsidRPr="00000000" w14:paraId="0000002D">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2E">
      <w:pPr>
        <w:numPr>
          <w:ilvl w:val="0"/>
          <w:numId w:val="1"/>
        </w:numPr>
        <w:spacing w:after="240" w:before="240" w:lineRule="auto"/>
        <w:ind w:left="425"/>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2F">
      <w:pPr>
        <w:keepNext w:val="1"/>
        <w:keepLines w:val="1"/>
        <w:numPr>
          <w:ilvl w:val="0"/>
          <w:numId w:val="1"/>
        </w:numPr>
        <w:ind w:left="425" w:hanging="425"/>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r w:rsidDel="00000000" w:rsidR="00000000" w:rsidRPr="00000000">
        <w:rPr>
          <w:rtl w:val="0"/>
        </w:rPr>
      </w:r>
    </w:p>
    <w:p w:rsidR="00000000" w:rsidDel="00000000" w:rsidP="00000000" w:rsidRDefault="00000000" w:rsidRPr="00000000" w14:paraId="00000030">
      <w:pPr>
        <w:numPr>
          <w:ilvl w:val="0"/>
          <w:numId w:val="1"/>
        </w:numPr>
        <w:spacing w:line="240" w:lineRule="auto"/>
        <w:ind w:left="425" w:hanging="425"/>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1">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2">
      <w:pPr>
        <w:numPr>
          <w:ilvl w:val="0"/>
          <w:numId w:val="1"/>
        </w:numPr>
        <w:ind w:left="425" w:hanging="425"/>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3">
      <w:pP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4">
      <w:pPr>
        <w:numPr>
          <w:ilvl w:val="0"/>
          <w:numId w:val="1"/>
        </w:numPr>
        <w:ind w:left="425" w:right="566"/>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000000" w:rsidDel="00000000" w:rsidP="00000000" w:rsidRDefault="00000000" w:rsidRPr="00000000" w14:paraId="00000035">
      <w:pPr>
        <w:numPr>
          <w:ilvl w:val="0"/>
          <w:numId w:val="1"/>
        </w:numPr>
        <w:ind w:left="425" w:right="566"/>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w:t>
      </w:r>
      <w:r w:rsidDel="00000000" w:rsidR="00000000" w:rsidRPr="00000000">
        <w:rPr>
          <w:rFonts w:ascii="Roboto" w:cs="Roboto" w:eastAsia="Roboto" w:hAnsi="Roboto"/>
          <w:sz w:val="20"/>
          <w:szCs w:val="20"/>
          <w:rtl w:val="0"/>
        </w:rPr>
        <w:t xml:space="preserve">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37">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38">
      <w:pPr>
        <w:numPr>
          <w:ilvl w:val="0"/>
          <w:numId w:val="4"/>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w:t>
      </w:r>
      <w:r w:rsidDel="00000000" w:rsidR="00000000" w:rsidRPr="00000000">
        <w:rPr>
          <w:rFonts w:ascii="Calibri" w:cs="Calibri" w:eastAsia="Calibri" w:hAnsi="Calibri"/>
          <w:highlight w:val="yellow"/>
          <w:rtl w:val="0"/>
        </w:rPr>
        <w:t xml:space="preserve">nabývá právní moci a vykonatelnosti dnem</w:t>
      </w:r>
      <w:r w:rsidDel="00000000" w:rsidR="00000000" w:rsidRPr="00000000">
        <w:rPr>
          <w:rFonts w:ascii="Calibri" w:cs="Calibri" w:eastAsia="Calibri" w:hAnsi="Calibri"/>
          <w:rtl w:val="0"/>
        </w:rPr>
        <w:t xml:space="preserve"> jeho doručení p</w:t>
      </w:r>
      <w:r w:rsidDel="00000000" w:rsidR="00000000" w:rsidRPr="00000000">
        <w:rPr>
          <w:rFonts w:ascii="Calibri" w:cs="Calibri" w:eastAsia="Calibri" w:hAnsi="Calibri"/>
          <w:rtl w:val="0"/>
        </w:rPr>
        <w:t xml:space="preserve">říjemci.</w:t>
      </w:r>
      <w:r w:rsidDel="00000000" w:rsidR="00000000" w:rsidRPr="00000000">
        <w:rPr>
          <w:rtl w:val="0"/>
        </w:rPr>
      </w:r>
    </w:p>
    <w:p w:rsidR="00000000" w:rsidDel="00000000" w:rsidP="00000000" w:rsidRDefault="00000000" w:rsidRPr="00000000" w14:paraId="00000039">
      <w:pPr>
        <w:numPr>
          <w:ilvl w:val="0"/>
          <w:numId w:val="4"/>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vydáváme na dobu určitou, a to do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6"/>
          <w:numId w:val="6"/>
        </w:numPr>
        <w:spacing w:before="0" w:line="240" w:lineRule="auto"/>
        <w:ind w:left="5040" w:firstLine="1476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3D">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highlight w:val="yellow"/>
                <w:rtl w:val="0"/>
              </w:rPr>
              <w:t xml:space="preserve">DD. MM. RRRR</w:t>
            </w:r>
          </w:p>
        </w:tc>
        <w:tc>
          <w:tcPr>
            <w:tcBorders>
              <w:bottom w:color="000000" w:space="0" w:sz="4" w:val="single"/>
            </w:tcBorders>
          </w:tcPr>
          <w:p w:rsidR="00000000" w:rsidDel="00000000" w:rsidP="00000000" w:rsidRDefault="00000000" w:rsidRPr="00000000" w14:paraId="0000003E">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3F">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40">
            <w:pPr>
              <w:spacing w:after="40" w:before="40" w:lineRule="auto"/>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předseda/předsedkyně TA ČR</w:t>
            </w:r>
          </w:p>
        </w:tc>
      </w:tr>
    </w:tbl>
    <w:bookmarkStart w:colFirst="0" w:colLast="0" w:name="1fob9te" w:id="1"/>
    <w:bookmarkEnd w:id="1"/>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rFonts w:ascii="Calibri" w:cs="Calibri" w:eastAsia="Calibri" w:hAnsi="Calibri"/>
        <w:sz w:val="16"/>
        <w:szCs w:val="16"/>
      </w:rPr>
    </w:pPr>
    <w:bookmarkStart w:colFirst="0" w:colLast="0" w:name="_3znysh7" w:id="2"/>
    <w:bookmarkEnd w:id="2"/>
    <w:r w:rsidDel="00000000" w:rsidR="00000000" w:rsidRPr="00000000">
      <w:rPr>
        <w:rFonts w:ascii="Calibri" w:cs="Calibri" w:eastAsia="Calibri" w:hAnsi="Calibri"/>
        <w:sz w:val="16"/>
        <w:szCs w:val="16"/>
        <w:rtl w:val="0"/>
      </w:rPr>
      <w:t xml:space="preserve">F-353, verze 5</w:t>
      <w:tab/>
      <w:t xml:space="preserve">Strana</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sz w:val="16"/>
        <w:szCs w:val="16"/>
        <w:rtl w:val="0"/>
      </w:rPr>
      <w:tab/>
    </w:r>
    <w:r w:rsidDel="00000000" w:rsidR="00000000" w:rsidRPr="00000000">
      <w:rPr>
        <w:rFonts w:ascii="Calibri" w:cs="Calibri" w:eastAsia="Calibri" w:hAnsi="Calibri"/>
        <w:sz w:val="16"/>
        <w:szCs w:val="16"/>
        <w:rtl w:val="0"/>
      </w:rPr>
      <w:t xml:space="preserve">Veřejný</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tabs>
        <w:tab w:val="center" w:leader="none" w:pos="4536"/>
        <w:tab w:val="right" w:leader="none" w:pos="9072"/>
      </w:tabs>
      <w:spacing w:before="1134" w:line="240" w:lineRule="auto"/>
      <w:jc w:val="right"/>
      <w:rPr/>
    </w:pPr>
    <w:r w:rsidDel="00000000" w:rsidR="00000000" w:rsidRPr="00000000">
      <w:rPr>
        <w:b w:val="1"/>
        <w:sz w:val="16"/>
        <w:szCs w:val="16"/>
        <w:rtl w:val="0"/>
      </w:rPr>
      <w:t xml:space="preserve">Rozhodnutí</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-892167</wp:posOffset>
          </wp:positionH>
          <wp:positionV relativeFrom="paragraph">
            <wp:posOffset>-441954</wp:posOffset>
          </wp:positionV>
          <wp:extent cx="1439545" cy="143954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45">
    <w:pPr>
      <w:tabs>
        <w:tab w:val="center" w:leader="none" w:pos="4536"/>
        <w:tab w:val="right" w:leader="none" w:pos="9072"/>
      </w:tabs>
      <w:spacing w:before="0" w:line="240" w:lineRule="auto"/>
      <w:jc w:val="right"/>
      <w:rPr>
        <w:b w:val="1"/>
        <w:sz w:val="16"/>
        <w:szCs w:val="16"/>
      </w:rPr>
    </w:pPr>
    <w:r w:rsidDel="00000000" w:rsidR="00000000" w:rsidRPr="00000000">
      <w:rPr>
        <w:b w:val="1"/>
        <w:sz w:val="16"/>
        <w:szCs w:val="16"/>
        <w:rtl w:val="0"/>
      </w:rPr>
      <w:t xml:space="preserve">Číslo rozhodnutí: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p w:rsidR="00000000" w:rsidDel="00000000" w:rsidP="00000000" w:rsidRDefault="00000000" w:rsidRPr="00000000" w14:paraId="00000046">
    <w:pPr>
      <w:tabs>
        <w:tab w:val="center" w:leader="none" w:pos="4536"/>
        <w:tab w:val="right" w:leader="none" w:pos="9072"/>
      </w:tabs>
      <w:spacing w:before="0" w:line="240" w:lineRule="auto"/>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3">
    <w:lvl w:ilvl="0">
      <w:start w:val="1"/>
      <w:numFmt w:val="decimal"/>
      <w:lvlText w:val="%1."/>
      <w:lvlJc w:val="left"/>
      <w:pPr>
        <w:ind w:left="360" w:hanging="360"/>
      </w:pPr>
      <w:rPr>
        <w:rFonts w:ascii="Open Sans" w:cs="Open Sans" w:eastAsia="Open Sans" w:hAnsi="Open Sans"/>
        <w:b w:val="1"/>
        <w:i w:val="0"/>
        <w:smallCaps w:val="0"/>
        <w:strike w:val="0"/>
        <w:sz w:val="20"/>
        <w:szCs w:val="2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4">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decimal"/>
      <w:lvlText w:val="%1)"/>
      <w:lvlJc w:val="left"/>
      <w:pPr>
        <w:ind w:left="360" w:firstLine="1080"/>
      </w:pPr>
      <w:rPr>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